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43" w:rsidRDefault="00B77C3B" w:rsidP="004B15C3">
      <w:pPr>
        <w:ind w:leftChars="-129" w:left="-271" w:rightChars="-90" w:right="-189"/>
        <w:jc w:val="center"/>
      </w:pPr>
      <w:r w:rsidRPr="00B77C3B">
        <w:rPr>
          <w:rFonts w:asciiTheme="minorHAnsi" w:eastAsiaTheme="minorEastAsia" w:hAnsiTheme="minorHAnsi" w:cstheme="minorBidi"/>
          <w:b/>
          <w:sz w:val="28"/>
          <w:szCs w:val="28"/>
        </w:rPr>
        <w:t>201</w:t>
      </w:r>
      <w:r w:rsidR="004B15C3">
        <w:rPr>
          <w:rFonts w:asciiTheme="minorHAnsi" w:eastAsiaTheme="minorEastAsia" w:hAnsiTheme="minorHAnsi" w:cstheme="minorBidi" w:hint="eastAsia"/>
          <w:b/>
          <w:sz w:val="28"/>
          <w:szCs w:val="28"/>
        </w:rPr>
        <w:t>3</w:t>
      </w:r>
      <w:r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年度“</w:t>
      </w:r>
      <w:r w:rsidR="004B15C3">
        <w:rPr>
          <w:rFonts w:asciiTheme="minorHAnsi" w:eastAsiaTheme="minorEastAsia" w:hAnsiTheme="minorHAnsi" w:cstheme="minorBidi" w:hint="eastAsia"/>
          <w:b/>
          <w:sz w:val="28"/>
          <w:szCs w:val="28"/>
        </w:rPr>
        <w:t>我的中国梦”</w:t>
      </w:r>
    </w:p>
    <w:p w:rsidR="00B77C3B" w:rsidRPr="00B77C3B" w:rsidRDefault="004E4743" w:rsidP="004B15C3">
      <w:pPr>
        <w:ind w:leftChars="-129" w:left="-271" w:rightChars="-90" w:right="-189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4E4743">
        <w:rPr>
          <w:rFonts w:asciiTheme="minorHAnsi" w:eastAsiaTheme="minorEastAsia" w:hAnsiTheme="minorHAnsi" w:cstheme="minorBidi" w:hint="eastAsia"/>
          <w:b/>
          <w:sz w:val="28"/>
          <w:szCs w:val="28"/>
        </w:rPr>
        <w:t>主题教育活动</w:t>
      </w:r>
      <w:r w:rsidR="004B15C3">
        <w:rPr>
          <w:rFonts w:asciiTheme="minorHAnsi" w:eastAsiaTheme="minorEastAsia" w:hAnsiTheme="minorHAnsi" w:cstheme="minorBidi" w:hint="eastAsia"/>
          <w:b/>
          <w:sz w:val="28"/>
          <w:szCs w:val="28"/>
        </w:rPr>
        <w:t>中</w:t>
      </w:r>
      <w:bookmarkStart w:id="0" w:name="_GoBack"/>
      <w:bookmarkEnd w:id="0"/>
      <w:r w:rsidR="004B15C3">
        <w:rPr>
          <w:rFonts w:asciiTheme="minorHAnsi" w:eastAsiaTheme="minorEastAsia" w:hAnsiTheme="minorHAnsi" w:cstheme="minorBidi" w:hint="eastAsia"/>
          <w:b/>
          <w:sz w:val="28"/>
          <w:szCs w:val="28"/>
        </w:rPr>
        <w:t>期</w:t>
      </w:r>
      <w:r w:rsid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复</w:t>
      </w:r>
      <w:r w:rsidR="00B77C3B" w:rsidRPr="00B77C3B">
        <w:rPr>
          <w:rFonts w:asciiTheme="minorHAnsi" w:eastAsiaTheme="minorEastAsia" w:hAnsiTheme="minorHAnsi" w:cstheme="minorBidi" w:hint="eastAsia"/>
          <w:b/>
          <w:sz w:val="28"/>
          <w:szCs w:val="28"/>
        </w:rPr>
        <w:t>评细则</w:t>
      </w:r>
    </w:p>
    <w:tbl>
      <w:tblPr>
        <w:tblpPr w:leftFromText="180" w:rightFromText="180" w:vertAnchor="text" w:horzAnchor="margin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941"/>
        <w:gridCol w:w="1321"/>
        <w:gridCol w:w="2506"/>
      </w:tblGrid>
      <w:tr w:rsidR="006576B7" w:rsidTr="00EE3576">
        <w:trPr>
          <w:trHeight w:val="838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941" w:type="dxa"/>
            <w:vAlign w:val="center"/>
          </w:tcPr>
          <w:p w:rsidR="006576B7" w:rsidRPr="00EE3576" w:rsidRDefault="006576B7" w:rsidP="004B15C3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/>
                <w:sz w:val="24"/>
                <w:szCs w:val="22"/>
              </w:rPr>
              <w:t>201</w:t>
            </w:r>
            <w:r w:rsidR="004B15C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3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年</w:t>
            </w:r>
            <w:r w:rsidRPr="00EE3576">
              <w:rPr>
                <w:rFonts w:ascii="仿宋_GB2312" w:eastAsia="仿宋_GB2312" w:hAnsiTheme="minorHAnsi" w:cstheme="minorBidi"/>
                <w:sz w:val="24"/>
                <w:szCs w:val="22"/>
              </w:rPr>
              <w:t xml:space="preserve"> </w:t>
            </w:r>
            <w:r w:rsidR="004B15C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6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月</w:t>
            </w:r>
            <w:r w:rsidR="009558BF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19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日</w:t>
            </w:r>
          </w:p>
        </w:tc>
        <w:tc>
          <w:tcPr>
            <w:tcW w:w="1321" w:type="dxa"/>
            <w:vAlign w:val="center"/>
          </w:tcPr>
          <w:p w:rsidR="006576B7" w:rsidRPr="00EE3576" w:rsidRDefault="006576B7" w:rsidP="00EE3576">
            <w:pPr>
              <w:widowControl/>
              <w:jc w:val="center"/>
              <w:rPr>
                <w:rFonts w:ascii="仿宋_GB2312" w:eastAsia="仿宋_GB2312" w:hAnsiTheme="minorHAnsi" w:cstheme="minorBidi"/>
                <w:b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b/>
                <w:sz w:val="24"/>
                <w:szCs w:val="22"/>
              </w:rPr>
              <w:t>地点</w:t>
            </w:r>
          </w:p>
        </w:tc>
        <w:tc>
          <w:tcPr>
            <w:tcW w:w="2506" w:type="dxa"/>
            <w:vAlign w:val="center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沙河东区主教学楼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教室</w:t>
            </w:r>
          </w:p>
        </w:tc>
      </w:tr>
      <w:tr w:rsidR="006576B7" w:rsidTr="00EE3576">
        <w:trPr>
          <w:trHeight w:val="1120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sz w:val="24"/>
                <w:szCs w:val="24"/>
              </w:rPr>
              <w:t>评选流程</w:t>
            </w:r>
          </w:p>
        </w:tc>
        <w:tc>
          <w:tcPr>
            <w:tcW w:w="6768" w:type="dxa"/>
            <w:gridSpan w:val="3"/>
            <w:vAlign w:val="center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介绍活动情况及评选方式；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各学院进行宣讲展示，评委委员会进行打分；</w:t>
            </w:r>
          </w:p>
          <w:p w:rsidR="006576B7" w:rsidRPr="00EE3576" w:rsidRDefault="006576B7" w:rsidP="00B41699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统计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复评</w:t>
            </w: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得分。</w:t>
            </w:r>
          </w:p>
        </w:tc>
      </w:tr>
      <w:tr w:rsidR="006576B7" w:rsidTr="00EE3576">
        <w:trPr>
          <w:trHeight w:val="1551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评选委员会组成</w:t>
            </w:r>
          </w:p>
        </w:tc>
        <w:tc>
          <w:tcPr>
            <w:tcW w:w="6768" w:type="dxa"/>
            <w:gridSpan w:val="3"/>
          </w:tcPr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委员长：王艺老师</w:t>
            </w:r>
          </w:p>
          <w:p w:rsidR="006576B7" w:rsidRPr="00EE3576" w:rsidRDefault="00B77C3B" w:rsidP="00910FA4">
            <w:pPr>
              <w:widowControl/>
              <w:ind w:left="720" w:hangingChars="300" w:hanging="72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评委：校团委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老师、</w:t>
            </w:r>
            <w:r w:rsidR="00AD1EB8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校团委宣传部学生</w:t>
            </w:r>
            <w:r w:rsidR="00AD1EB8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负责人、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</w:t>
            </w:r>
            <w:r w:rsidR="0042585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学院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团总支</w:t>
            </w:r>
            <w:r w:rsidR="004B15C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副</w:t>
            </w:r>
            <w:r w:rsidR="006576B7"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书记</w:t>
            </w:r>
          </w:p>
          <w:p w:rsidR="006576B7" w:rsidRPr="00EE3576" w:rsidRDefault="006576B7" w:rsidP="00EE3576">
            <w:pPr>
              <w:widowControl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E357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统计员：校团委宣传部干事</w:t>
            </w:r>
          </w:p>
        </w:tc>
      </w:tr>
      <w:tr w:rsidR="006576B7" w:rsidTr="00015266">
        <w:trPr>
          <w:trHeight w:val="3826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评选办法</w:t>
            </w:r>
          </w:p>
        </w:tc>
        <w:tc>
          <w:tcPr>
            <w:tcW w:w="6768" w:type="dxa"/>
            <w:gridSpan w:val="3"/>
            <w:vAlign w:val="center"/>
          </w:tcPr>
          <w:p w:rsidR="00015266" w:rsidRDefault="00425856" w:rsidP="00015266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评委观看各团总支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的主题教育活动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宣讲展示后，对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各团总支</w:t>
            </w:r>
            <w:r w:rsidR="00EF7E0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的宣讲展示进行打分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（百分制）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  <w:p w:rsidR="006576B7" w:rsidRPr="00015266" w:rsidRDefault="00B41699" w:rsidP="00015266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所有</w:t>
            </w:r>
            <w:r w:rsidR="00910FA4"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</w:t>
            </w:r>
            <w:r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对一团总支所打分数</w:t>
            </w:r>
            <w:r w:rsidR="00910FA4"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的平均分为</w:t>
            </w:r>
            <w:r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该团总支主题教育</w:t>
            </w:r>
            <w:r w:rsidR="00910FA4" w:rsidRPr="00015266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活动的复评成绩。</w:t>
            </w:r>
          </w:p>
          <w:p w:rsidR="00B41699" w:rsidRDefault="00910FA4" w:rsidP="00015266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主题教育活动的总成绩由初评成绩和复评成绩两部分组成。初评成绩占总分数的</w:t>
            </w:r>
            <w:r w:rsidR="008B5C05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4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0%，复评成绩占总分数的</w:t>
            </w:r>
            <w:r w:rsidR="008B5C05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6</w:t>
            </w: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0%。</w:t>
            </w:r>
          </w:p>
          <w:p w:rsidR="006576B7" w:rsidRPr="00C130E8" w:rsidRDefault="006576B7" w:rsidP="00015266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评委须根据活动宣讲展示客观公正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打分</w:t>
            </w:r>
            <w:r w:rsidRP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</w:tc>
      </w:tr>
      <w:tr w:rsidR="006576B7" w:rsidTr="00EE3576">
        <w:trPr>
          <w:trHeight w:val="4243"/>
        </w:trPr>
        <w:tc>
          <w:tcPr>
            <w:tcW w:w="2129" w:type="dxa"/>
            <w:vAlign w:val="center"/>
          </w:tcPr>
          <w:p w:rsidR="006576B7" w:rsidRPr="00EE3576" w:rsidRDefault="006576B7" w:rsidP="00EE357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E35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评选标准</w:t>
            </w:r>
          </w:p>
        </w:tc>
        <w:tc>
          <w:tcPr>
            <w:tcW w:w="6768" w:type="dxa"/>
            <w:gridSpan w:val="3"/>
            <w:vAlign w:val="center"/>
          </w:tcPr>
          <w:p w:rsidR="00EF7E0A" w:rsidRDefault="00B77C3B" w:rsidP="00EF7E0A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符合主题要求，富有教育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意义；</w:t>
            </w:r>
          </w:p>
          <w:p w:rsidR="00EF7E0A" w:rsidRDefault="006576B7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宣讲内容丰富、充实，形式新颖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；</w:t>
            </w:r>
          </w:p>
          <w:p w:rsidR="00EF7E0A" w:rsidRDefault="006576B7" w:rsidP="00EE3576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活动形式多样，团员参与程度高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；</w:t>
            </w:r>
          </w:p>
          <w:p w:rsidR="002D7D04" w:rsidRDefault="006576B7" w:rsidP="002D7D04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proofErr w:type="gramStart"/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运用微博等</w:t>
            </w:r>
            <w:proofErr w:type="gramEnd"/>
            <w:r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新媒体</w:t>
            </w:r>
            <w:r w:rsidR="00B41699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宣传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情况良好；</w:t>
            </w:r>
          </w:p>
          <w:p w:rsidR="00EF7E0A" w:rsidRPr="00807C73" w:rsidRDefault="002D7D04" w:rsidP="002D7D04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结合传统的刊物、广播、宣传栏等多种途径，打造新型“全媒体”体系，宣传覆盖面广；</w:t>
            </w:r>
          </w:p>
          <w:p w:rsidR="006A64C4" w:rsidRPr="00807C73" w:rsidRDefault="006A64C4" w:rsidP="006A64C4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宣讲内容需囊括</w:t>
            </w:r>
            <w:r w:rsidRPr="00807C73">
              <w:rPr>
                <w:rFonts w:ascii="仿宋_GB2312" w:eastAsia="仿宋_GB2312" w:hAnsiTheme="minorHAnsi" w:cstheme="minorBidi"/>
                <w:sz w:val="24"/>
                <w:szCs w:val="22"/>
              </w:rPr>
              <w:t>主题教育活动总体思路</w:t>
            </w: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、</w:t>
            </w:r>
            <w:r w:rsidRPr="00807C73">
              <w:rPr>
                <w:rFonts w:ascii="仿宋_GB2312" w:eastAsia="仿宋_GB2312" w:hAnsiTheme="minorHAnsi" w:cstheme="minorBidi"/>
                <w:sz w:val="24"/>
                <w:szCs w:val="22"/>
              </w:rPr>
              <w:t>主题教活动过程风采</w:t>
            </w: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、</w:t>
            </w:r>
            <w:r w:rsidRPr="00807C73">
              <w:rPr>
                <w:rFonts w:ascii="仿宋_GB2312" w:eastAsia="仿宋_GB2312" w:hAnsiTheme="minorHAnsi" w:cstheme="minorBidi"/>
                <w:sz w:val="24"/>
                <w:szCs w:val="22"/>
              </w:rPr>
              <w:t>主题教育活动</w:t>
            </w: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覆盖与影响、</w:t>
            </w:r>
            <w:r w:rsidRPr="00807C73">
              <w:rPr>
                <w:rFonts w:ascii="仿宋_GB2312" w:eastAsia="仿宋_GB2312" w:hAnsiTheme="minorHAnsi" w:cstheme="minorBidi"/>
                <w:sz w:val="24"/>
                <w:szCs w:val="22"/>
              </w:rPr>
              <w:t>主题教育活动创新</w:t>
            </w:r>
            <w:r w:rsidRPr="00807C73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与亮点等四个方面；</w:t>
            </w:r>
          </w:p>
          <w:p w:rsidR="006576B7" w:rsidRPr="00EF7E0A" w:rsidRDefault="00B41699" w:rsidP="00500BCE">
            <w:pPr>
              <w:pStyle w:val="a5"/>
              <w:widowControl/>
              <w:numPr>
                <w:ilvl w:val="0"/>
                <w:numId w:val="3"/>
              </w:numPr>
              <w:ind w:firstLineChars="0"/>
              <w:rPr>
                <w:rFonts w:ascii="仿宋_GB2312" w:eastAsia="仿宋_GB2312" w:hAnsiTheme="minorHAnsi" w:cstheme="minorBidi"/>
                <w:sz w:val="24"/>
                <w:szCs w:val="22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宣讲时间在</w:t>
            </w:r>
            <w:r w:rsidR="00500BCE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5分钟</w:t>
            </w:r>
            <w:r w:rsidR="006576B7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内</w:t>
            </w:r>
            <w:r w:rsidR="009D604A" w:rsidRPr="00EF7E0A">
              <w:rPr>
                <w:rFonts w:ascii="仿宋_GB2312" w:eastAsia="仿宋_GB2312" w:hAnsiTheme="minorHAnsi" w:cstheme="minorBidi" w:hint="eastAsia"/>
                <w:sz w:val="24"/>
                <w:szCs w:val="22"/>
              </w:rPr>
              <w:t>。</w:t>
            </w:r>
          </w:p>
        </w:tc>
      </w:tr>
    </w:tbl>
    <w:p w:rsidR="006B1221" w:rsidRPr="006576B7" w:rsidRDefault="006B1221"/>
    <w:sectPr w:rsidR="006B1221" w:rsidRPr="006576B7" w:rsidSect="00273014">
      <w:headerReference w:type="default" r:id="rId8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DE" w:rsidRDefault="00D85FDE" w:rsidP="006576B7">
      <w:r>
        <w:separator/>
      </w:r>
    </w:p>
  </w:endnote>
  <w:endnote w:type="continuationSeparator" w:id="0">
    <w:p w:rsidR="00D85FDE" w:rsidRDefault="00D85FDE" w:rsidP="0065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DE" w:rsidRDefault="00D85FDE" w:rsidP="006576B7">
      <w:r>
        <w:separator/>
      </w:r>
    </w:p>
  </w:footnote>
  <w:footnote w:type="continuationSeparator" w:id="0">
    <w:p w:rsidR="00D85FDE" w:rsidRDefault="00D85FDE" w:rsidP="0065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B5" w:rsidRDefault="00D85FDE" w:rsidP="002A2F8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D0A"/>
    <w:multiLevelType w:val="hybridMultilevel"/>
    <w:tmpl w:val="C0D8A0C6"/>
    <w:lvl w:ilvl="0" w:tplc="5D448F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F0562EF"/>
    <w:multiLevelType w:val="hybridMultilevel"/>
    <w:tmpl w:val="686C6B0E"/>
    <w:lvl w:ilvl="0" w:tplc="5428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20988"/>
    <w:multiLevelType w:val="hybridMultilevel"/>
    <w:tmpl w:val="0AC0BD7E"/>
    <w:lvl w:ilvl="0" w:tplc="5476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6B7"/>
    <w:rsid w:val="00015266"/>
    <w:rsid w:val="000C49E4"/>
    <w:rsid w:val="00140DB6"/>
    <w:rsid w:val="00164FB2"/>
    <w:rsid w:val="001A4E95"/>
    <w:rsid w:val="00202D81"/>
    <w:rsid w:val="002624DD"/>
    <w:rsid w:val="00273014"/>
    <w:rsid w:val="002A2F8C"/>
    <w:rsid w:val="002D7D04"/>
    <w:rsid w:val="003556AA"/>
    <w:rsid w:val="00425856"/>
    <w:rsid w:val="00491FAA"/>
    <w:rsid w:val="004B15C3"/>
    <w:rsid w:val="004E3078"/>
    <w:rsid w:val="004E4743"/>
    <w:rsid w:val="00500BCE"/>
    <w:rsid w:val="00575FB3"/>
    <w:rsid w:val="005E1473"/>
    <w:rsid w:val="006576B7"/>
    <w:rsid w:val="006A64C4"/>
    <w:rsid w:val="006B1221"/>
    <w:rsid w:val="006D25C2"/>
    <w:rsid w:val="007719DE"/>
    <w:rsid w:val="00774BA0"/>
    <w:rsid w:val="00807C73"/>
    <w:rsid w:val="00855155"/>
    <w:rsid w:val="008B5C05"/>
    <w:rsid w:val="008F3BCB"/>
    <w:rsid w:val="00910FA4"/>
    <w:rsid w:val="009209FD"/>
    <w:rsid w:val="009558BF"/>
    <w:rsid w:val="00966E37"/>
    <w:rsid w:val="009D604A"/>
    <w:rsid w:val="00A06C34"/>
    <w:rsid w:val="00A75331"/>
    <w:rsid w:val="00AD1EB8"/>
    <w:rsid w:val="00B41699"/>
    <w:rsid w:val="00B53738"/>
    <w:rsid w:val="00B77C3B"/>
    <w:rsid w:val="00BB01B6"/>
    <w:rsid w:val="00C130E8"/>
    <w:rsid w:val="00C6487B"/>
    <w:rsid w:val="00D66AF7"/>
    <w:rsid w:val="00D85FDE"/>
    <w:rsid w:val="00DF0417"/>
    <w:rsid w:val="00EE3576"/>
    <w:rsid w:val="00EF7E0A"/>
    <w:rsid w:val="00F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7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6B7"/>
    <w:rPr>
      <w:sz w:val="18"/>
      <w:szCs w:val="18"/>
    </w:rPr>
  </w:style>
  <w:style w:type="paragraph" w:styleId="a5">
    <w:name w:val="List Paragraph"/>
    <w:basedOn w:val="a"/>
    <w:uiPriority w:val="34"/>
    <w:qFormat/>
    <w:rsid w:val="00EF7E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ymt小丫头</dc:creator>
  <cp:keywords/>
  <dc:description/>
  <cp:lastModifiedBy>微软用户</cp:lastModifiedBy>
  <cp:revision>28</cp:revision>
  <dcterms:created xsi:type="dcterms:W3CDTF">2012-12-09T02:50:00Z</dcterms:created>
  <dcterms:modified xsi:type="dcterms:W3CDTF">2013-06-06T03:05:00Z</dcterms:modified>
</cp:coreProperties>
</file>